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15" w:rsidRDefault="00BC6415" w:rsidP="00DC6F8D">
      <w:pPr>
        <w:autoSpaceDE w:val="0"/>
        <w:autoSpaceDN w:val="0"/>
        <w:adjustRightInd w:val="0"/>
        <w:spacing w:line="360" w:lineRule="auto"/>
        <w:jc w:val="center"/>
        <w:rPr>
          <w:b/>
          <w:noProof/>
          <w:spacing w:val="100"/>
          <w:sz w:val="28"/>
          <w:szCs w:val="28"/>
        </w:rPr>
      </w:pPr>
      <w:r>
        <w:rPr>
          <w:b/>
          <w:noProof/>
          <w:spacing w:val="100"/>
          <w:sz w:val="28"/>
          <w:szCs w:val="28"/>
        </w:rPr>
        <w:t>LISTA</w:t>
      </w:r>
    </w:p>
    <w:p w:rsidR="00BC6415" w:rsidRDefault="00BC6415" w:rsidP="00DC6F8D">
      <w:pPr>
        <w:autoSpaceDE w:val="0"/>
        <w:autoSpaceDN w:val="0"/>
        <w:adjustRightInd w:val="0"/>
        <w:spacing w:line="360" w:lineRule="auto"/>
        <w:jc w:val="center"/>
        <w:rPr>
          <w:b/>
          <w:noProof/>
          <w:spacing w:val="100"/>
          <w:sz w:val="28"/>
          <w:szCs w:val="28"/>
        </w:rPr>
      </w:pPr>
      <w:r>
        <w:rPr>
          <w:b/>
          <w:sz w:val="28"/>
          <w:szCs w:val="28"/>
        </w:rPr>
        <w:t xml:space="preserve">lucrărilor ştiinţifice publicate </w:t>
      </w:r>
    </w:p>
    <w:p w:rsidR="00BC6415" w:rsidRDefault="00BC6415" w:rsidP="00DC6F8D">
      <w:pPr>
        <w:autoSpaceDE w:val="0"/>
        <w:autoSpaceDN w:val="0"/>
        <w:adjustRightInd w:val="0"/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Lector  univ. dr. Ardeleanu Elena-Roxana</w:t>
      </w:r>
    </w:p>
    <w:p w:rsidR="00561AD7" w:rsidRDefault="00561AD7" w:rsidP="00DC6F8D">
      <w:pPr>
        <w:autoSpaceDE w:val="0"/>
        <w:autoSpaceDN w:val="0"/>
        <w:adjustRightInd w:val="0"/>
        <w:spacing w:line="360" w:lineRule="auto"/>
        <w:jc w:val="center"/>
        <w:rPr>
          <w:b/>
          <w:noProof/>
          <w:sz w:val="28"/>
          <w:szCs w:val="28"/>
        </w:rPr>
      </w:pPr>
    </w:p>
    <w:p w:rsidR="00BC6415" w:rsidRDefault="00BC6415" w:rsidP="00DC6F8D">
      <w:pPr>
        <w:autoSpaceDE w:val="0"/>
        <w:autoSpaceDN w:val="0"/>
        <w:adjustRightInd w:val="0"/>
        <w:spacing w:line="360" w:lineRule="auto"/>
        <w:jc w:val="center"/>
        <w:rPr>
          <w:b/>
          <w:noProof/>
          <w:sz w:val="28"/>
          <w:szCs w:val="28"/>
        </w:rPr>
      </w:pPr>
    </w:p>
    <w:p w:rsidR="00BC6415" w:rsidRDefault="00BC6415" w:rsidP="00561AD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DC6F8D">
        <w:rPr>
          <w:noProof/>
        </w:rPr>
        <w:t>Teza de doctorat</w:t>
      </w:r>
      <w:r>
        <w:rPr>
          <w:b/>
          <w:noProof/>
        </w:rPr>
        <w:t xml:space="preserve"> </w:t>
      </w:r>
      <w:r>
        <w:rPr>
          <w:b/>
          <w:i/>
          <w:noProof/>
        </w:rPr>
        <w:t>„Modele de reacţie-difuzie cu chemotaxis”</w:t>
      </w:r>
      <w:r>
        <w:rPr>
          <w:b/>
          <w:noProof/>
        </w:rPr>
        <w:t xml:space="preserve"> </w:t>
      </w:r>
      <w:r>
        <w:rPr>
          <w:noProof/>
        </w:rPr>
        <w:t xml:space="preserve">susținută în iunie 2012, la </w:t>
      </w:r>
      <w:r>
        <w:rPr>
          <w:noProof/>
        </w:rPr>
        <w:tab/>
        <w:t>Institutul de Statistică Matematică și Matematică Aplica</w:t>
      </w:r>
      <w:r w:rsidR="00E40891">
        <w:rPr>
          <w:noProof/>
        </w:rPr>
        <w:t xml:space="preserve">tă "Gh.  Mihoc-Caius Iacob" al </w:t>
      </w:r>
      <w:r>
        <w:rPr>
          <w:noProof/>
        </w:rPr>
        <w:t>Academiei Române, îndrumător CS I Dr. Gabriela Marinoschi.</w:t>
      </w:r>
    </w:p>
    <w:p w:rsidR="00561AD7" w:rsidRDefault="00561AD7" w:rsidP="00561AD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5"/>
        <w:jc w:val="both"/>
        <w:rPr>
          <w:noProof/>
        </w:rPr>
      </w:pPr>
    </w:p>
    <w:p w:rsidR="00BC6415" w:rsidRDefault="00BC6415" w:rsidP="00561AD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DC6F8D">
        <w:rPr>
          <w:szCs w:val="24"/>
        </w:rPr>
        <w:t xml:space="preserve">Brevete/invenții </w:t>
      </w:r>
      <w:r w:rsidR="00561AD7">
        <w:rPr>
          <w:szCs w:val="24"/>
        </w:rPr>
        <w:t>– nu este cazul</w:t>
      </w:r>
    </w:p>
    <w:p w:rsidR="00561AD7" w:rsidRDefault="00561AD7" w:rsidP="00561AD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BC6415" w:rsidRPr="00B25FB7" w:rsidRDefault="00BC6415" w:rsidP="00B25FB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noProof/>
          <w:sz w:val="28"/>
          <w:szCs w:val="28"/>
        </w:rPr>
      </w:pPr>
      <w:r>
        <w:rPr>
          <w:szCs w:val="24"/>
        </w:rPr>
        <w:tab/>
        <w:t xml:space="preserve">3. </w:t>
      </w:r>
      <w:r w:rsidRPr="00DC6F8D">
        <w:rPr>
          <w:szCs w:val="24"/>
        </w:rPr>
        <w:t>Cărți și capitole în cărți</w:t>
      </w:r>
    </w:p>
    <w:p w:rsidR="00BC6415" w:rsidRPr="007C55CB" w:rsidRDefault="00BC6415" w:rsidP="00DC6F8D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noProof/>
          <w:szCs w:val="24"/>
        </w:rPr>
      </w:pPr>
      <w:r w:rsidRPr="00040D39">
        <w:rPr>
          <w:b/>
          <w:szCs w:val="24"/>
        </w:rPr>
        <w:t>Ardeleanu Elena Roxana</w:t>
      </w:r>
      <w:r w:rsidRPr="007C55CB">
        <w:rPr>
          <w:szCs w:val="24"/>
        </w:rPr>
        <w:t>, Lungu Otilia</w:t>
      </w:r>
      <w:r w:rsidRPr="007C55CB">
        <w:rPr>
          <w:noProof/>
          <w:szCs w:val="24"/>
        </w:rPr>
        <w:t xml:space="preserve">, </w:t>
      </w:r>
      <w:r w:rsidRPr="00040D39">
        <w:rPr>
          <w:b/>
          <w:i/>
          <w:szCs w:val="24"/>
        </w:rPr>
        <w:t>Matematici superioare. Culegere de probleme</w:t>
      </w:r>
      <w:r w:rsidRPr="007C55CB">
        <w:rPr>
          <w:szCs w:val="24"/>
        </w:rPr>
        <w:t xml:space="preserve">,  </w:t>
      </w:r>
      <w:r w:rsidRPr="007C55CB">
        <w:rPr>
          <w:noProof/>
          <w:szCs w:val="24"/>
        </w:rPr>
        <w:t xml:space="preserve">Editura Alma Mater, Bacău, 2017, ISBN </w:t>
      </w:r>
      <w:r w:rsidRPr="007C55CB">
        <w:rPr>
          <w:szCs w:val="24"/>
        </w:rPr>
        <w:t>978-606-527-571-3.</w:t>
      </w:r>
    </w:p>
    <w:p w:rsidR="00BC6415" w:rsidRDefault="00BC6415" w:rsidP="002A0CC6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noProof/>
        </w:rPr>
        <w:t xml:space="preserve">Ardeleanu Elena-Roxana, </w:t>
      </w:r>
      <w:r w:rsidRPr="00040D39">
        <w:rPr>
          <w:b/>
          <w:i/>
          <w:noProof/>
        </w:rPr>
        <w:t>Differential Equations. Problems and solutions</w:t>
      </w:r>
      <w:r>
        <w:rPr>
          <w:noProof/>
        </w:rPr>
        <w:t>, Editura Alma Mater, Bacău, 2015, ISBN 978-606-527-479-2.</w:t>
      </w:r>
    </w:p>
    <w:p w:rsidR="00BC6415" w:rsidRPr="00DC6F8D" w:rsidRDefault="00BC6415" w:rsidP="00DC6F8D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noProof/>
        </w:rPr>
        <w:t xml:space="preserve">V. Nimineț, </w:t>
      </w:r>
      <w:r w:rsidRPr="00040D39">
        <w:rPr>
          <w:b/>
          <w:noProof/>
        </w:rPr>
        <w:t>R. Ardeleanu</w:t>
      </w:r>
      <w:r>
        <w:rPr>
          <w:noProof/>
        </w:rPr>
        <w:t xml:space="preserve">, </w:t>
      </w:r>
      <w:r w:rsidRPr="00040D39">
        <w:rPr>
          <w:b/>
          <w:i/>
          <w:noProof/>
        </w:rPr>
        <w:t>Elemente de teoria probabilităților și Statistică</w:t>
      </w:r>
      <w:r>
        <w:rPr>
          <w:i/>
          <w:noProof/>
        </w:rPr>
        <w:t>,</w:t>
      </w:r>
      <w:r>
        <w:rPr>
          <w:noProof/>
        </w:rPr>
        <w:t xml:space="preserve"> Editura    PIM, Iași, 2008, ISBN 978-606-520-014-2.</w:t>
      </w:r>
    </w:p>
    <w:p w:rsidR="00BC6415" w:rsidRPr="00561AD7" w:rsidRDefault="00BC6415" w:rsidP="00B25FB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 w:rsidRPr="00DC6F8D">
        <w:rPr>
          <w:noProof/>
          <w:spacing w:val="-2"/>
          <w:szCs w:val="24"/>
        </w:rPr>
        <w:t xml:space="preserve">G. Burcă, </w:t>
      </w:r>
      <w:r w:rsidRPr="00DC6F8D">
        <w:rPr>
          <w:b/>
          <w:noProof/>
          <w:spacing w:val="-2"/>
          <w:szCs w:val="24"/>
        </w:rPr>
        <w:t>R. Ardeleanu</w:t>
      </w:r>
      <w:r w:rsidRPr="00DC6F8D">
        <w:rPr>
          <w:noProof/>
          <w:spacing w:val="-2"/>
          <w:szCs w:val="24"/>
        </w:rPr>
        <w:t xml:space="preserve">, </w:t>
      </w:r>
      <w:r w:rsidRPr="00DC6F8D">
        <w:rPr>
          <w:b/>
          <w:i/>
          <w:noProof/>
          <w:spacing w:val="-2"/>
          <w:szCs w:val="24"/>
        </w:rPr>
        <w:t>Matematici aplicate- Probabilități și statitică</w:t>
      </w:r>
      <w:r w:rsidRPr="00DC6F8D">
        <w:rPr>
          <w:noProof/>
          <w:spacing w:val="-2"/>
          <w:szCs w:val="24"/>
        </w:rPr>
        <w:t>, Editura PIM, Iași, 2007, ISBN 978-93-716-643-2.</w:t>
      </w:r>
    </w:p>
    <w:p w:rsidR="00561AD7" w:rsidRDefault="00561AD7" w:rsidP="00561AD7">
      <w:pPr>
        <w:autoSpaceDE w:val="0"/>
        <w:autoSpaceDN w:val="0"/>
        <w:adjustRightInd w:val="0"/>
        <w:spacing w:line="360" w:lineRule="auto"/>
        <w:ind w:left="1080"/>
        <w:jc w:val="both"/>
        <w:rPr>
          <w:b/>
          <w:noProof/>
        </w:rPr>
      </w:pPr>
    </w:p>
    <w:p w:rsidR="00BC6415" w:rsidRPr="00561AD7" w:rsidRDefault="00BC6415" w:rsidP="00B25FB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B25FB7">
        <w:rPr>
          <w:szCs w:val="24"/>
        </w:rPr>
        <w:t>4. Articole/studii in extenso, publicate în reviste din fluxul științific internațional principal</w:t>
      </w:r>
    </w:p>
    <w:p w:rsidR="009F21E7" w:rsidRPr="009F21E7" w:rsidRDefault="009F21E7" w:rsidP="009F21E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9F21E7">
        <w:rPr>
          <w:sz w:val="22"/>
        </w:rPr>
        <w:t xml:space="preserve">Elena-Roxana Ardeleanu, </w:t>
      </w:r>
      <w:r w:rsidRPr="00C37948">
        <w:rPr>
          <w:b/>
          <w:sz w:val="22"/>
        </w:rPr>
        <w:t>Mathematics teaching methods: traditional vs. Modern</w:t>
      </w:r>
      <w:r w:rsidRPr="009F21E7">
        <w:rPr>
          <w:sz w:val="22"/>
        </w:rPr>
        <w:t xml:space="preserve">,  </w:t>
      </w:r>
      <w:r w:rsidRPr="00D8082C">
        <w:rPr>
          <w:sz w:val="22"/>
        </w:rPr>
        <w:t xml:space="preserve">Journal of Innovation in Psychology, </w:t>
      </w:r>
      <w:r w:rsidR="00C37948">
        <w:rPr>
          <w:sz w:val="22"/>
        </w:rPr>
        <w:t xml:space="preserve"> </w:t>
      </w:r>
      <w:r w:rsidRPr="00D8082C">
        <w:rPr>
          <w:sz w:val="22"/>
        </w:rPr>
        <w:t>Education and Didactics (JIPED)</w:t>
      </w:r>
      <w:r>
        <w:rPr>
          <w:sz w:val="22"/>
        </w:rPr>
        <w:t>, vol.</w:t>
      </w:r>
      <w:r w:rsidRPr="005E3C60">
        <w:rPr>
          <w:sz w:val="22"/>
        </w:rPr>
        <w:t xml:space="preserve"> </w:t>
      </w:r>
      <w:r>
        <w:rPr>
          <w:sz w:val="22"/>
        </w:rPr>
        <w:t xml:space="preserve">  23,   n</w:t>
      </w:r>
      <w:r w:rsidRPr="005E3C60">
        <w:rPr>
          <w:sz w:val="22"/>
        </w:rPr>
        <w:t xml:space="preserve">r. </w:t>
      </w:r>
      <w:r>
        <w:rPr>
          <w:sz w:val="22"/>
        </w:rPr>
        <w:t xml:space="preserve"> 2,  2019,  </w:t>
      </w:r>
      <w:r w:rsidRPr="005E3C60">
        <w:rPr>
          <w:sz w:val="22"/>
        </w:rPr>
        <w:t xml:space="preserve"> </w:t>
      </w:r>
      <w:r>
        <w:rPr>
          <w:sz w:val="22"/>
        </w:rPr>
        <w:t xml:space="preserve">pag.  134-141, </w:t>
      </w:r>
      <w:r w:rsidRPr="009F21E7">
        <w:rPr>
          <w:sz w:val="22"/>
        </w:rPr>
        <w:t>ISSN:  2247-4579   E-ISSN: 2392-7127</w:t>
      </w:r>
    </w:p>
    <w:p w:rsidR="004952E2" w:rsidRPr="004952E2" w:rsidRDefault="004952E2" w:rsidP="004952E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 w:rsidRPr="00230C88">
        <w:rPr>
          <w:sz w:val="22"/>
        </w:rPr>
        <w:t xml:space="preserve">Ann Colles, </w:t>
      </w:r>
      <w:r w:rsidRPr="00230C88">
        <w:rPr>
          <w:b/>
          <w:sz w:val="22"/>
        </w:rPr>
        <w:t>Elena-Roxana Ardeleanu</w:t>
      </w:r>
      <w:r>
        <w:rPr>
          <w:b/>
          <w:sz w:val="22"/>
        </w:rPr>
        <w:t xml:space="preserve">, </w:t>
      </w:r>
      <w:r w:rsidRPr="004952E2">
        <w:rPr>
          <w:sz w:val="22"/>
        </w:rPr>
        <w:t>et.al.,</w:t>
      </w:r>
      <w:r>
        <w:rPr>
          <w:b/>
          <w:sz w:val="22"/>
        </w:rPr>
        <w:t xml:space="preserve"> </w:t>
      </w:r>
      <w:r w:rsidRPr="004952E2">
        <w:rPr>
          <w:b/>
          <w:i/>
          <w:sz w:val="22"/>
        </w:rPr>
        <w:t xml:space="preserve">Human biomonitoring as a tool for exposure assessment in industrially contaminated sites (ICSs). </w:t>
      </w:r>
      <w:r w:rsidRPr="004952E2">
        <w:rPr>
          <w:b/>
          <w:i/>
        </w:rPr>
        <w:t>Lessons learned within the ICS and Health European Network</w:t>
      </w:r>
      <w:r>
        <w:t xml:space="preserve">, Epidemiologia e prevenzione, vol. 43, nr. 4, p. 1-11, 2019, ISSN </w:t>
      </w:r>
      <w:r>
        <w:rPr>
          <w:sz w:val="22"/>
        </w:rPr>
        <w:t xml:space="preserve">1120-9763  </w:t>
      </w:r>
      <w:r>
        <w:t>DOI:10.19191/EP18.5-6.S1.PO21.085</w:t>
      </w:r>
      <w:r w:rsidR="00C871CD">
        <w:t xml:space="preserve"> </w:t>
      </w:r>
      <w:r w:rsidR="00C871CD" w:rsidRPr="00194047">
        <w:rPr>
          <w:noProof/>
          <w:spacing w:val="-2"/>
        </w:rPr>
        <w:t xml:space="preserve">(factor de impact </w:t>
      </w:r>
      <w:r w:rsidR="00C871CD">
        <w:rPr>
          <w:noProof/>
          <w:spacing w:val="-2"/>
        </w:rPr>
        <w:t>1,289</w:t>
      </w:r>
      <w:r w:rsidR="00C871CD" w:rsidRPr="00194047">
        <w:rPr>
          <w:noProof/>
          <w:spacing w:val="-2"/>
        </w:rPr>
        <w:t>)</w:t>
      </w:r>
    </w:p>
    <w:p w:rsidR="00040D39" w:rsidRPr="00040D39" w:rsidRDefault="00040D39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t xml:space="preserve">Gerard Hoek, Andrea Ranzi, Ilir Alimehmeti, </w:t>
      </w:r>
      <w:r w:rsidRPr="000F055F">
        <w:rPr>
          <w:b/>
        </w:rPr>
        <w:t>Elena-Roxana Ardeleanu</w:t>
      </w:r>
      <w:r>
        <w:t xml:space="preserve">, et.al., </w:t>
      </w:r>
      <w:r w:rsidRPr="000F055F">
        <w:rPr>
          <w:b/>
          <w:i/>
        </w:rPr>
        <w:t>A review of exposure assessment methods for epidemiological studies of health effects related to industrially contaminated sites</w:t>
      </w:r>
      <w:r>
        <w:rPr>
          <w:b/>
          <w:i/>
        </w:rPr>
        <w:t xml:space="preserve">, </w:t>
      </w:r>
      <w:r>
        <w:t xml:space="preserve">Epidemiologia e </w:t>
      </w:r>
      <w:r>
        <w:lastRenderedPageBreak/>
        <w:t>prevenzione, 42(5-6) Suppl 1, p. 21-36, 2018,</w:t>
      </w:r>
      <w:r w:rsidR="004952E2">
        <w:t xml:space="preserve"> ISSN </w:t>
      </w:r>
      <w:r w:rsidR="004952E2">
        <w:rPr>
          <w:sz w:val="22"/>
        </w:rPr>
        <w:t xml:space="preserve">1120-9763  </w:t>
      </w:r>
      <w:r>
        <w:t xml:space="preserve"> DOI:10.19191/EP18.5-6.S1.PO21.085</w:t>
      </w:r>
    </w:p>
    <w:p w:rsidR="00BC6415" w:rsidRPr="0076252D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noProof/>
        </w:rPr>
        <w:t xml:space="preserve">E.R. Ardeleanu, </w:t>
      </w:r>
      <w:r>
        <w:rPr>
          <w:b/>
          <w:i/>
          <w:noProof/>
        </w:rPr>
        <w:t xml:space="preserve">Note on the well-posedness of a nonlinear hyperbolic system for cell growth, </w:t>
      </w:r>
      <w:r>
        <w:rPr>
          <w:noProof/>
        </w:rPr>
        <w:t>Proceeding of the Romanian Academy, Series A, Mathematics, Physics, Tehnical Sciences, Information Science, vol. 17, no. 4, 2016, ISSN 1454-9069, pag. 293-299</w:t>
      </w:r>
      <w:r w:rsidR="00C37948">
        <w:rPr>
          <w:noProof/>
        </w:rPr>
        <w:t xml:space="preserve"> </w:t>
      </w:r>
      <w:r w:rsidR="00C37948" w:rsidRPr="00194047">
        <w:rPr>
          <w:noProof/>
          <w:spacing w:val="-2"/>
        </w:rPr>
        <w:t>(factor de impact 1,735).</w:t>
      </w:r>
    </w:p>
    <w:p w:rsidR="00BC6415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noProof/>
        </w:rPr>
        <w:t xml:space="preserve">E.R. Ardeleanu, </w:t>
      </w:r>
      <w:r>
        <w:rPr>
          <w:b/>
          <w:i/>
          <w:noProof/>
        </w:rPr>
        <w:t>Numerical simulation for a model of bioremediation with chemotaxis</w:t>
      </w:r>
      <w:r>
        <w:rPr>
          <w:noProof/>
        </w:rPr>
        <w:t xml:space="preserve">, </w:t>
      </w:r>
      <w:r>
        <w:rPr>
          <w:bCs/>
        </w:rPr>
        <w:t>Journal of Engineering Studies and Research</w:t>
      </w:r>
      <w:r>
        <w:rPr>
          <w:noProof/>
        </w:rPr>
        <w:t xml:space="preserve">, vol. 21, no. 1, 2015, </w:t>
      </w:r>
      <w:r>
        <w:t xml:space="preserve">ISSN </w:t>
      </w:r>
      <w:r>
        <w:rPr>
          <w:bCs/>
        </w:rPr>
        <w:t>2068-7559</w:t>
      </w:r>
      <w:r>
        <w:rPr>
          <w:noProof/>
        </w:rPr>
        <w:t>, pag. 7-14.</w:t>
      </w:r>
    </w:p>
    <w:p w:rsidR="00BC6415" w:rsidRPr="00DC6F8D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noProof/>
        </w:rPr>
        <w:t xml:space="preserve">I. Caraman, D. Rusu, E.R. Ardeleanu, I. Evtodiev, </w:t>
      </w:r>
      <w:r>
        <w:rPr>
          <w:b/>
          <w:i/>
          <w:noProof/>
        </w:rPr>
        <w:t>The Detectors of UV and X radiation based on Ga2S3 and GaSe semiconductors intercalated with Cd</w:t>
      </w:r>
      <w:r>
        <w:rPr>
          <w:noProof/>
        </w:rPr>
        <w:t xml:space="preserve">, Journal of Optoelectronic and Biomedical Materials, vol. 7, number 1, January-March, 2015, ISSN </w:t>
      </w:r>
      <w:r>
        <w:rPr>
          <w:bCs/>
        </w:rPr>
        <w:t>2066-0049</w:t>
      </w:r>
      <w:r>
        <w:rPr>
          <w:noProof/>
        </w:rPr>
        <w:t>, pag.27-32.</w:t>
      </w:r>
      <w:r w:rsidRPr="00DC6F8D">
        <w:t xml:space="preserve"> </w:t>
      </w:r>
    </w:p>
    <w:p w:rsidR="00BC6415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t xml:space="preserve">Ardeleanu (Sgarcea) E.R.,  Marinoschi G.M.,  </w:t>
      </w:r>
      <w:r>
        <w:rPr>
          <w:b/>
          <w:i/>
        </w:rPr>
        <w:t>An asymptotic solution to a nonlinear reaction-diffusion system with chemotaxis</w:t>
      </w:r>
      <w:r>
        <w:t xml:space="preserve">, Numerical Functional Analysis and Optimization, 2013, vol. 34, nr. 2, ISSN 0163-0563 print/1532-2467 online, pag 117-148 </w:t>
      </w:r>
      <w:r w:rsidR="00C37948" w:rsidRPr="00194047">
        <w:rPr>
          <w:noProof/>
          <w:spacing w:val="-2"/>
        </w:rPr>
        <w:t>(factor de impact 0,711)</w:t>
      </w:r>
      <w:r>
        <w:t>.</w:t>
      </w:r>
    </w:p>
    <w:p w:rsidR="00BC6415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t xml:space="preserve">Ardeleanu (Sgarcea) E.R., </w:t>
      </w:r>
      <w:r>
        <w:rPr>
          <w:b/>
          <w:i/>
        </w:rPr>
        <w:t>A chemotaxis model in a stratified domain</w:t>
      </w:r>
      <w:r>
        <w:t xml:space="preserve">, Mathematical reports, 2012, vol. 14(64), nr. 3, ISSN </w:t>
      </w:r>
      <w:r>
        <w:rPr>
          <w:bCs/>
        </w:rPr>
        <w:t>1582-3067</w:t>
      </w:r>
      <w:r>
        <w:t>,  pag. 221-242</w:t>
      </w:r>
      <w:r w:rsidR="00C37948">
        <w:t xml:space="preserve"> </w:t>
      </w:r>
      <w:r w:rsidR="00C37948" w:rsidRPr="00194047">
        <w:rPr>
          <w:noProof/>
          <w:spacing w:val="-2"/>
        </w:rPr>
        <w:t>(factor de impact 0,098)</w:t>
      </w:r>
      <w:r>
        <w:t>.</w:t>
      </w:r>
    </w:p>
    <w:p w:rsidR="00BC6415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t xml:space="preserve">Ardeleanu E.R., </w:t>
      </w:r>
      <w:r>
        <w:rPr>
          <w:b/>
          <w:i/>
        </w:rPr>
        <w:t>On a one-dimensional mathematical model related to soil bioremediation</w:t>
      </w:r>
      <w:r>
        <w:t>, Scientific Studies and Research Series Mathematics and Informatics, 2011, vol. 21, nr. 1, ISSN 2067-3566, pag. 37-50.</w:t>
      </w:r>
    </w:p>
    <w:p w:rsidR="00BC6415" w:rsidRPr="008A5266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t xml:space="preserve">Ardeleanu E.R., </w:t>
      </w:r>
      <w:r>
        <w:rPr>
          <w:b/>
          <w:i/>
        </w:rPr>
        <w:t xml:space="preserve"> An approach to bioremediation</w:t>
      </w:r>
      <w:r>
        <w:t>, Journal of engineering studies and research, 2011, vol. 17  nr. 4, ISSN 2068-7559, pag. 7-1</w:t>
      </w:r>
      <w:r>
        <w:rPr>
          <w:color w:val="000000"/>
        </w:rPr>
        <w:t>2.</w:t>
      </w:r>
    </w:p>
    <w:p w:rsidR="00BC6415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t xml:space="preserve">Sgarcea Elena-Roxana, </w:t>
      </w:r>
      <w:r>
        <w:rPr>
          <w:b/>
          <w:i/>
        </w:rPr>
        <w:t>The associated semigroup to a diffusion problem in a porous medium</w:t>
      </w:r>
      <w:r>
        <w:t xml:space="preserve">, </w:t>
      </w:r>
      <w:r>
        <w:rPr>
          <w:color w:val="000000"/>
        </w:rPr>
        <w:t xml:space="preserve">Proceedings of the International Conference on Mathematics and Informatics, </w:t>
      </w:r>
      <w:r>
        <w:t>ICMI 45, 2006, Bacău, România.</w:t>
      </w:r>
    </w:p>
    <w:p w:rsidR="00BC6415" w:rsidRDefault="00BC6415" w:rsidP="007D4024">
      <w:pPr>
        <w:pStyle w:val="CVNormal"/>
        <w:ind w:left="0"/>
        <w:rPr>
          <w:rFonts w:ascii="Times New Roman" w:hAnsi="Times New Roman"/>
          <w:sz w:val="24"/>
          <w:szCs w:val="24"/>
        </w:rPr>
      </w:pPr>
    </w:p>
    <w:p w:rsidR="00BC6415" w:rsidRDefault="00BC6415" w:rsidP="00B25FB7">
      <w:pPr>
        <w:pStyle w:val="CVNormal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Publicații in extenso, apărute în lucrări ale principalelor conferințe internaționale de specialitate</w:t>
      </w:r>
    </w:p>
    <w:p w:rsidR="00561AD7" w:rsidRDefault="00561AD7" w:rsidP="00B25FB7">
      <w:pPr>
        <w:pStyle w:val="CVNormal"/>
        <w:ind w:left="284"/>
        <w:rPr>
          <w:rFonts w:ascii="Times New Roman" w:hAnsi="Times New Roman"/>
          <w:sz w:val="24"/>
          <w:szCs w:val="24"/>
        </w:rPr>
      </w:pPr>
    </w:p>
    <w:p w:rsidR="00561AD7" w:rsidRPr="00561AD7" w:rsidRDefault="00E40891" w:rsidP="00561A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pacing w:val="-2"/>
          <w:sz w:val="24"/>
          <w:szCs w:val="24"/>
        </w:rPr>
      </w:pPr>
      <w:r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="00561AD7" w:rsidRPr="00B41C49">
        <w:rPr>
          <w:rFonts w:ascii="Times New Roman" w:hAnsi="Times New Roman"/>
          <w:noProof/>
          <w:spacing w:val="-2"/>
          <w:sz w:val="24"/>
          <w:szCs w:val="24"/>
        </w:rPr>
        <w:t>Ardeleanu R.,</w:t>
      </w:r>
      <w:r w:rsidR="00561AD7">
        <w:rPr>
          <w:noProof/>
          <w:spacing w:val="-2"/>
          <w:szCs w:val="24"/>
        </w:rPr>
        <w:t xml:space="preserve">  </w:t>
      </w:r>
      <w:r w:rsidR="00561AD7" w:rsidRPr="00B41C49">
        <w:rPr>
          <w:rFonts w:ascii="Times New Roman" w:hAnsi="Times New Roman"/>
          <w:b/>
          <w:i/>
          <w:noProof/>
          <w:spacing w:val="-2"/>
          <w:sz w:val="24"/>
          <w:szCs w:val="24"/>
        </w:rPr>
        <w:t>Environmental impact of phosphogypsum waste dump in Bacău, Ramania – case study</w:t>
      </w:r>
      <w:r w:rsidR="00561AD7">
        <w:rPr>
          <w:rFonts w:ascii="Times New Roman" w:hAnsi="Times New Roman"/>
          <w:noProof/>
          <w:spacing w:val="-2"/>
          <w:sz w:val="24"/>
          <w:szCs w:val="24"/>
        </w:rPr>
        <w:t xml:space="preserve">, </w:t>
      </w:r>
      <w:r w:rsidR="00561AD7" w:rsidRPr="00B41C49">
        <w:rPr>
          <w:rFonts w:ascii="Times New Roman" w:hAnsi="Times New Roman"/>
          <w:noProof/>
          <w:spacing w:val="-2"/>
          <w:sz w:val="24"/>
          <w:szCs w:val="24"/>
        </w:rPr>
        <w:t>First Training School</w:t>
      </w:r>
      <w:r w:rsidR="00561AD7">
        <w:rPr>
          <w:rFonts w:ascii="Times New Roman" w:hAnsi="Times New Roman"/>
          <w:noProof/>
          <w:spacing w:val="-2"/>
          <w:sz w:val="24"/>
          <w:szCs w:val="24"/>
        </w:rPr>
        <w:t>’</w:t>
      </w:r>
      <w:r w:rsidR="00561AD7">
        <w:rPr>
          <w:rFonts w:ascii="Times New Roman" w:hAnsi="Times New Roman"/>
          <w:noProof/>
          <w:spacing w:val="-2"/>
          <w:sz w:val="24"/>
          <w:szCs w:val="24"/>
          <w:lang w:val="en-US"/>
        </w:rPr>
        <w:t>s Final Report and Posters</w:t>
      </w:r>
      <w:r w:rsidR="00561AD7" w:rsidRPr="00B41C49">
        <w:rPr>
          <w:rFonts w:ascii="Times New Roman" w:hAnsi="Times New Roman"/>
          <w:noProof/>
          <w:spacing w:val="-2"/>
          <w:sz w:val="24"/>
          <w:szCs w:val="24"/>
        </w:rPr>
        <w:t xml:space="preserve"> on Environmental Health and industrially contaminated sites,  Action Grant COST IS1408 Industrially Contaminated Sites and Health Network (ICSHNet), Aristotle University Of Thessaloniki, Research Dissemination Center (KEDEA), </w:t>
      </w:r>
      <w:r w:rsidR="00561AD7" w:rsidRPr="00B41C49">
        <w:rPr>
          <w:rFonts w:ascii="Times New Roman" w:hAnsi="Times New Roman"/>
          <w:noProof/>
          <w:spacing w:val="-2"/>
          <w:sz w:val="24"/>
          <w:szCs w:val="24"/>
        </w:rPr>
        <w:lastRenderedPageBreak/>
        <w:t>6.02-10.02.2017, Thessaloniki, Greece,  https://www.icshnet.eu/wp-content/uploads/2018/05/1stTS_Final_Report.pdf</w:t>
      </w:r>
    </w:p>
    <w:p w:rsidR="00BC6415" w:rsidRDefault="00E40891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b/>
          <w:bCs/>
        </w:rPr>
        <w:t xml:space="preserve"> </w:t>
      </w:r>
      <w:r w:rsidR="00BC6415">
        <w:rPr>
          <w:b/>
          <w:bCs/>
        </w:rPr>
        <w:t xml:space="preserve">Ardeleanu R., </w:t>
      </w:r>
      <w:smartTag w:uri="urn:schemas:contacts" w:element="Sn">
        <w:smartTag w:uri="urn:schemas:contacts" w:element="Sn">
          <w:r w:rsidR="00BC6415">
            <w:rPr>
              <w:bCs/>
            </w:rPr>
            <w:t>Furdu</w:t>
          </w:r>
        </w:smartTag>
        <w:r w:rsidR="00BC6415">
          <w:rPr>
            <w:bCs/>
          </w:rPr>
          <w:t xml:space="preserve"> </w:t>
        </w:r>
        <w:smartTag w:uri="urn:schemas:contacts" w:element="Sn">
          <w:r w:rsidR="00BC6415">
            <w:rPr>
              <w:bCs/>
            </w:rPr>
            <w:t>I.</w:t>
          </w:r>
        </w:smartTag>
      </w:smartTag>
      <w:r w:rsidR="00BC6415">
        <w:rPr>
          <w:bCs/>
        </w:rPr>
        <w:t>,</w:t>
      </w:r>
      <w:r w:rsidR="00BC6415">
        <w:rPr>
          <w:b/>
          <w:bCs/>
        </w:rPr>
        <w:t xml:space="preserve"> </w:t>
      </w:r>
      <w:r w:rsidR="00BC6415">
        <w:rPr>
          <w:b/>
          <w:i/>
        </w:rPr>
        <w:t xml:space="preserve">On the role of mathematical game in obtaining school performance, </w:t>
      </w:r>
      <w:r w:rsidR="00BC6415">
        <w:t>Proceedings of the International Conference Social Media in Academia: Research and Teaching, SMART 2014, 18-21 septembrie 2014, Timișoara, România, ISBN 978-88-7587-712-5, pag. 429-434.</w:t>
      </w:r>
    </w:p>
    <w:p w:rsidR="00BC6415" w:rsidRPr="00561AD7" w:rsidRDefault="00BC6415" w:rsidP="00F45B6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noProof/>
          <w:spacing w:val="-2"/>
          <w:szCs w:val="24"/>
        </w:rPr>
        <w:t xml:space="preserve"> </w:t>
      </w:r>
      <w:r w:rsidRPr="00DC6F8D">
        <w:rPr>
          <w:noProof/>
          <w:spacing w:val="-2"/>
          <w:szCs w:val="24"/>
        </w:rPr>
        <w:t xml:space="preserve">I. Furdu, R. Ardeleanu, </w:t>
      </w:r>
      <w:r w:rsidRPr="00DC6F8D">
        <w:rPr>
          <w:b/>
          <w:i/>
          <w:noProof/>
          <w:spacing w:val="-2"/>
          <w:szCs w:val="24"/>
        </w:rPr>
        <w:t>Rolul jocului didactic matematic în obținerea performanței școlare</w:t>
      </w:r>
      <w:r w:rsidRPr="00DC6F8D">
        <w:rPr>
          <w:noProof/>
          <w:spacing w:val="-2"/>
          <w:szCs w:val="24"/>
        </w:rPr>
        <w:t>, Cercetare și practică în didactica modernă, 2013, ISSN 2344-4142, pag.536-542.</w:t>
      </w:r>
    </w:p>
    <w:p w:rsidR="00561AD7" w:rsidRPr="00DC6F8D" w:rsidRDefault="00561AD7" w:rsidP="00561AD7">
      <w:pPr>
        <w:autoSpaceDE w:val="0"/>
        <w:autoSpaceDN w:val="0"/>
        <w:adjustRightInd w:val="0"/>
        <w:spacing w:line="360" w:lineRule="auto"/>
        <w:ind w:left="1440"/>
        <w:jc w:val="both"/>
        <w:rPr>
          <w:b/>
          <w:noProof/>
        </w:rPr>
      </w:pPr>
    </w:p>
    <w:p w:rsidR="00BC6415" w:rsidRDefault="00BC6415" w:rsidP="00DC6F8D">
      <w:pPr>
        <w:tabs>
          <w:tab w:val="left" w:pos="142"/>
        </w:tabs>
        <w:spacing w:line="360" w:lineRule="auto"/>
        <w:jc w:val="both"/>
        <w:rPr>
          <w:b/>
          <w:noProof/>
          <w:spacing w:val="-2"/>
        </w:rPr>
      </w:pP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  <w:t>Data,</w:t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</w:r>
      <w:r>
        <w:rPr>
          <w:b/>
          <w:noProof/>
          <w:spacing w:val="-2"/>
        </w:rPr>
        <w:tab/>
        <w:t>Semnătura,</w:t>
      </w:r>
    </w:p>
    <w:p w:rsidR="00BC6415" w:rsidRPr="007D4024" w:rsidRDefault="00BC6415" w:rsidP="00561AD7">
      <w:pPr>
        <w:spacing w:line="360" w:lineRule="auto"/>
        <w:ind w:left="360"/>
        <w:jc w:val="both"/>
      </w:pPr>
      <w:r>
        <w:tab/>
      </w:r>
      <w:r>
        <w:tab/>
      </w:r>
      <w:r w:rsidR="00A6583B">
        <w:t>14.01.2020</w:t>
      </w:r>
      <w:r>
        <w:tab/>
      </w:r>
      <w:r>
        <w:tab/>
      </w:r>
      <w:r>
        <w:tab/>
      </w:r>
      <w:r>
        <w:tab/>
      </w:r>
      <w:r>
        <w:tab/>
      </w:r>
      <w:r>
        <w:tab/>
        <w:t>Ardeleanu Elena-Roxana</w:t>
      </w:r>
    </w:p>
    <w:sectPr w:rsidR="00BC6415" w:rsidRPr="007D4024" w:rsidSect="00561AD7">
      <w:footerReference w:type="default" r:id="rId7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A3" w:rsidRDefault="00351EA3" w:rsidP="001F208D">
      <w:r>
        <w:separator/>
      </w:r>
    </w:p>
  </w:endnote>
  <w:endnote w:type="continuationSeparator" w:id="1">
    <w:p w:rsidR="00351EA3" w:rsidRDefault="00351EA3" w:rsidP="001F2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8D" w:rsidRDefault="00AF0052">
    <w:pPr>
      <w:pStyle w:val="Footer"/>
    </w:pPr>
    <w:fldSimple w:instr=" PAGE   \* MERGEFORMAT ">
      <w:r w:rsidR="00A6583B">
        <w:rPr>
          <w:noProof/>
        </w:rPr>
        <w:t>3</w:t>
      </w:r>
    </w:fldSimple>
  </w:p>
  <w:p w:rsidR="001F208D" w:rsidRDefault="001F20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A3" w:rsidRDefault="00351EA3" w:rsidP="001F208D">
      <w:r>
        <w:separator/>
      </w:r>
    </w:p>
  </w:footnote>
  <w:footnote w:type="continuationSeparator" w:id="1">
    <w:p w:rsidR="00351EA3" w:rsidRDefault="00351EA3" w:rsidP="001F2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DC5"/>
    <w:multiLevelType w:val="hybridMultilevel"/>
    <w:tmpl w:val="30548128"/>
    <w:lvl w:ilvl="0" w:tplc="947E52FE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DF1FA8"/>
    <w:multiLevelType w:val="hybridMultilevel"/>
    <w:tmpl w:val="7CE02CD0"/>
    <w:lvl w:ilvl="0" w:tplc="52782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E051A2"/>
    <w:multiLevelType w:val="hybridMultilevel"/>
    <w:tmpl w:val="F0020FCE"/>
    <w:lvl w:ilvl="0" w:tplc="09BAA8B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C9A25A5"/>
    <w:multiLevelType w:val="hybridMultilevel"/>
    <w:tmpl w:val="AB740BA8"/>
    <w:lvl w:ilvl="0" w:tplc="6EECE59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09F442F"/>
    <w:multiLevelType w:val="hybridMultilevel"/>
    <w:tmpl w:val="9DA8C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63515"/>
    <w:multiLevelType w:val="hybridMultilevel"/>
    <w:tmpl w:val="614887A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24"/>
    <w:rsid w:val="00006747"/>
    <w:rsid w:val="000247B5"/>
    <w:rsid w:val="000362B7"/>
    <w:rsid w:val="00040D39"/>
    <w:rsid w:val="00043CC5"/>
    <w:rsid w:val="000473D5"/>
    <w:rsid w:val="000536F2"/>
    <w:rsid w:val="00056225"/>
    <w:rsid w:val="00056E36"/>
    <w:rsid w:val="000673C6"/>
    <w:rsid w:val="00075A5A"/>
    <w:rsid w:val="00082220"/>
    <w:rsid w:val="000D41B3"/>
    <w:rsid w:val="000D7470"/>
    <w:rsid w:val="000E3D29"/>
    <w:rsid w:val="000F2681"/>
    <w:rsid w:val="00101BB1"/>
    <w:rsid w:val="00106F91"/>
    <w:rsid w:val="00141319"/>
    <w:rsid w:val="00143480"/>
    <w:rsid w:val="00151650"/>
    <w:rsid w:val="001607D7"/>
    <w:rsid w:val="00163A5F"/>
    <w:rsid w:val="00167E4F"/>
    <w:rsid w:val="001729DC"/>
    <w:rsid w:val="0017306C"/>
    <w:rsid w:val="00173372"/>
    <w:rsid w:val="00173C95"/>
    <w:rsid w:val="0018737D"/>
    <w:rsid w:val="001912DF"/>
    <w:rsid w:val="001A1401"/>
    <w:rsid w:val="001B28DB"/>
    <w:rsid w:val="001B2EC3"/>
    <w:rsid w:val="001B5557"/>
    <w:rsid w:val="001C03B4"/>
    <w:rsid w:val="001D24A4"/>
    <w:rsid w:val="001E0B30"/>
    <w:rsid w:val="001E23B6"/>
    <w:rsid w:val="001E3712"/>
    <w:rsid w:val="001F13E6"/>
    <w:rsid w:val="001F208D"/>
    <w:rsid w:val="001F2648"/>
    <w:rsid w:val="00204DAD"/>
    <w:rsid w:val="0020665F"/>
    <w:rsid w:val="0021188F"/>
    <w:rsid w:val="00211B08"/>
    <w:rsid w:val="00212C24"/>
    <w:rsid w:val="002521F9"/>
    <w:rsid w:val="00264B89"/>
    <w:rsid w:val="002878C3"/>
    <w:rsid w:val="002A0CC6"/>
    <w:rsid w:val="002A4A39"/>
    <w:rsid w:val="002A5199"/>
    <w:rsid w:val="002B76A7"/>
    <w:rsid w:val="002B7BFA"/>
    <w:rsid w:val="002C1DF5"/>
    <w:rsid w:val="002E027B"/>
    <w:rsid w:val="002E3830"/>
    <w:rsid w:val="002F40CD"/>
    <w:rsid w:val="002F5BA8"/>
    <w:rsid w:val="00306CEF"/>
    <w:rsid w:val="003471F9"/>
    <w:rsid w:val="00351C67"/>
    <w:rsid w:val="00351EA3"/>
    <w:rsid w:val="00354537"/>
    <w:rsid w:val="003701C9"/>
    <w:rsid w:val="003A116A"/>
    <w:rsid w:val="003A341A"/>
    <w:rsid w:val="003B1684"/>
    <w:rsid w:val="003B38E9"/>
    <w:rsid w:val="003B51ED"/>
    <w:rsid w:val="003C7316"/>
    <w:rsid w:val="003D06F4"/>
    <w:rsid w:val="003D4100"/>
    <w:rsid w:val="003F10E4"/>
    <w:rsid w:val="003F3DA9"/>
    <w:rsid w:val="003F4AAA"/>
    <w:rsid w:val="003F61E9"/>
    <w:rsid w:val="00411BA8"/>
    <w:rsid w:val="00423BA6"/>
    <w:rsid w:val="00445329"/>
    <w:rsid w:val="00445F60"/>
    <w:rsid w:val="00460D0A"/>
    <w:rsid w:val="00462422"/>
    <w:rsid w:val="00463230"/>
    <w:rsid w:val="00463DA4"/>
    <w:rsid w:val="00480573"/>
    <w:rsid w:val="0048167D"/>
    <w:rsid w:val="00482C95"/>
    <w:rsid w:val="004918E7"/>
    <w:rsid w:val="004952E2"/>
    <w:rsid w:val="004B4ED2"/>
    <w:rsid w:val="004B6A55"/>
    <w:rsid w:val="004D416A"/>
    <w:rsid w:val="004E3F1C"/>
    <w:rsid w:val="004E5E50"/>
    <w:rsid w:val="004E66F9"/>
    <w:rsid w:val="004E7025"/>
    <w:rsid w:val="004F1F4A"/>
    <w:rsid w:val="004F445B"/>
    <w:rsid w:val="004F5948"/>
    <w:rsid w:val="004F7884"/>
    <w:rsid w:val="00505A58"/>
    <w:rsid w:val="005249E6"/>
    <w:rsid w:val="00525605"/>
    <w:rsid w:val="00532EB9"/>
    <w:rsid w:val="00533551"/>
    <w:rsid w:val="0053389F"/>
    <w:rsid w:val="005341A7"/>
    <w:rsid w:val="00542276"/>
    <w:rsid w:val="00545CFB"/>
    <w:rsid w:val="0055029E"/>
    <w:rsid w:val="0055305E"/>
    <w:rsid w:val="00561AD7"/>
    <w:rsid w:val="00564451"/>
    <w:rsid w:val="00576DFC"/>
    <w:rsid w:val="00587478"/>
    <w:rsid w:val="005910F2"/>
    <w:rsid w:val="00592B78"/>
    <w:rsid w:val="00596473"/>
    <w:rsid w:val="005B26E1"/>
    <w:rsid w:val="005B2BBA"/>
    <w:rsid w:val="005C2AE4"/>
    <w:rsid w:val="005D3D85"/>
    <w:rsid w:val="005E6E92"/>
    <w:rsid w:val="00604425"/>
    <w:rsid w:val="00607C37"/>
    <w:rsid w:val="0062154C"/>
    <w:rsid w:val="00623764"/>
    <w:rsid w:val="00624BF8"/>
    <w:rsid w:val="0063082B"/>
    <w:rsid w:val="00637864"/>
    <w:rsid w:val="006418F4"/>
    <w:rsid w:val="00644A92"/>
    <w:rsid w:val="00646417"/>
    <w:rsid w:val="00661076"/>
    <w:rsid w:val="0066264D"/>
    <w:rsid w:val="0066576B"/>
    <w:rsid w:val="00671978"/>
    <w:rsid w:val="00684332"/>
    <w:rsid w:val="0069361D"/>
    <w:rsid w:val="00693B70"/>
    <w:rsid w:val="00694DFD"/>
    <w:rsid w:val="006A6570"/>
    <w:rsid w:val="006B07B1"/>
    <w:rsid w:val="006C16AA"/>
    <w:rsid w:val="006C3C6F"/>
    <w:rsid w:val="006D7EA6"/>
    <w:rsid w:val="006F175C"/>
    <w:rsid w:val="006F2817"/>
    <w:rsid w:val="00710430"/>
    <w:rsid w:val="00721AE5"/>
    <w:rsid w:val="0072239D"/>
    <w:rsid w:val="00727486"/>
    <w:rsid w:val="00731D6D"/>
    <w:rsid w:val="00736A55"/>
    <w:rsid w:val="00747383"/>
    <w:rsid w:val="00751C3C"/>
    <w:rsid w:val="0076252D"/>
    <w:rsid w:val="0078003D"/>
    <w:rsid w:val="00781D9A"/>
    <w:rsid w:val="00782009"/>
    <w:rsid w:val="00784957"/>
    <w:rsid w:val="007918DD"/>
    <w:rsid w:val="007B16C8"/>
    <w:rsid w:val="007C55CB"/>
    <w:rsid w:val="007D4024"/>
    <w:rsid w:val="007E5BAF"/>
    <w:rsid w:val="007E7963"/>
    <w:rsid w:val="007F17CC"/>
    <w:rsid w:val="007F6B15"/>
    <w:rsid w:val="007F7FB7"/>
    <w:rsid w:val="0081581E"/>
    <w:rsid w:val="0082363D"/>
    <w:rsid w:val="008317DE"/>
    <w:rsid w:val="008356A8"/>
    <w:rsid w:val="00841A50"/>
    <w:rsid w:val="00847EF9"/>
    <w:rsid w:val="00851E93"/>
    <w:rsid w:val="00853277"/>
    <w:rsid w:val="00855FCB"/>
    <w:rsid w:val="0085634C"/>
    <w:rsid w:val="00860804"/>
    <w:rsid w:val="00862119"/>
    <w:rsid w:val="008635F1"/>
    <w:rsid w:val="00865487"/>
    <w:rsid w:val="008748C2"/>
    <w:rsid w:val="00885717"/>
    <w:rsid w:val="008A5266"/>
    <w:rsid w:val="008A76AD"/>
    <w:rsid w:val="008C5D91"/>
    <w:rsid w:val="008C6A30"/>
    <w:rsid w:val="008D3706"/>
    <w:rsid w:val="008D5D38"/>
    <w:rsid w:val="008E0338"/>
    <w:rsid w:val="008E25DF"/>
    <w:rsid w:val="008E2AEE"/>
    <w:rsid w:val="00903BDA"/>
    <w:rsid w:val="009215D3"/>
    <w:rsid w:val="00921AF3"/>
    <w:rsid w:val="00925CAF"/>
    <w:rsid w:val="009264F8"/>
    <w:rsid w:val="00926C84"/>
    <w:rsid w:val="00926E3A"/>
    <w:rsid w:val="00931963"/>
    <w:rsid w:val="0095435A"/>
    <w:rsid w:val="009844D5"/>
    <w:rsid w:val="00987628"/>
    <w:rsid w:val="0099162C"/>
    <w:rsid w:val="009B7ABA"/>
    <w:rsid w:val="009D132B"/>
    <w:rsid w:val="009F21E7"/>
    <w:rsid w:val="009F3785"/>
    <w:rsid w:val="009F64FA"/>
    <w:rsid w:val="00A03AC4"/>
    <w:rsid w:val="00A32896"/>
    <w:rsid w:val="00A34006"/>
    <w:rsid w:val="00A36E51"/>
    <w:rsid w:val="00A4006F"/>
    <w:rsid w:val="00A42C63"/>
    <w:rsid w:val="00A55C21"/>
    <w:rsid w:val="00A60A0B"/>
    <w:rsid w:val="00A6583B"/>
    <w:rsid w:val="00A65EF8"/>
    <w:rsid w:val="00A67F41"/>
    <w:rsid w:val="00A8790A"/>
    <w:rsid w:val="00AA76BF"/>
    <w:rsid w:val="00AC5980"/>
    <w:rsid w:val="00AC5AE4"/>
    <w:rsid w:val="00AD4249"/>
    <w:rsid w:val="00AE4089"/>
    <w:rsid w:val="00AF0052"/>
    <w:rsid w:val="00AF3E75"/>
    <w:rsid w:val="00B051C8"/>
    <w:rsid w:val="00B0660F"/>
    <w:rsid w:val="00B07CED"/>
    <w:rsid w:val="00B16E1A"/>
    <w:rsid w:val="00B171CC"/>
    <w:rsid w:val="00B25FB7"/>
    <w:rsid w:val="00B45BDB"/>
    <w:rsid w:val="00B52F03"/>
    <w:rsid w:val="00B556FA"/>
    <w:rsid w:val="00B754BC"/>
    <w:rsid w:val="00B768B9"/>
    <w:rsid w:val="00B82EC1"/>
    <w:rsid w:val="00B84919"/>
    <w:rsid w:val="00B96430"/>
    <w:rsid w:val="00B964A5"/>
    <w:rsid w:val="00BC57C2"/>
    <w:rsid w:val="00BC6415"/>
    <w:rsid w:val="00BD60A1"/>
    <w:rsid w:val="00BF0CA3"/>
    <w:rsid w:val="00C02B97"/>
    <w:rsid w:val="00C114D7"/>
    <w:rsid w:val="00C14CC4"/>
    <w:rsid w:val="00C16DB5"/>
    <w:rsid w:val="00C1736B"/>
    <w:rsid w:val="00C31845"/>
    <w:rsid w:val="00C37948"/>
    <w:rsid w:val="00C525C9"/>
    <w:rsid w:val="00C52E3C"/>
    <w:rsid w:val="00C7745A"/>
    <w:rsid w:val="00C80FAE"/>
    <w:rsid w:val="00C82A90"/>
    <w:rsid w:val="00C871CD"/>
    <w:rsid w:val="00C9679B"/>
    <w:rsid w:val="00CA2667"/>
    <w:rsid w:val="00CA6241"/>
    <w:rsid w:val="00CC6894"/>
    <w:rsid w:val="00CD3212"/>
    <w:rsid w:val="00CF0639"/>
    <w:rsid w:val="00CF2631"/>
    <w:rsid w:val="00D23345"/>
    <w:rsid w:val="00D25F3B"/>
    <w:rsid w:val="00D37002"/>
    <w:rsid w:val="00D405DC"/>
    <w:rsid w:val="00D4618F"/>
    <w:rsid w:val="00D51096"/>
    <w:rsid w:val="00D543E4"/>
    <w:rsid w:val="00D70A8E"/>
    <w:rsid w:val="00D72AB5"/>
    <w:rsid w:val="00D871EC"/>
    <w:rsid w:val="00D87F80"/>
    <w:rsid w:val="00D911DD"/>
    <w:rsid w:val="00D91B93"/>
    <w:rsid w:val="00DA2FE3"/>
    <w:rsid w:val="00DB2DAD"/>
    <w:rsid w:val="00DC6F8D"/>
    <w:rsid w:val="00DD092F"/>
    <w:rsid w:val="00DD2171"/>
    <w:rsid w:val="00DD7DB6"/>
    <w:rsid w:val="00DE277C"/>
    <w:rsid w:val="00DF3A68"/>
    <w:rsid w:val="00DF6AF7"/>
    <w:rsid w:val="00E0661E"/>
    <w:rsid w:val="00E124AD"/>
    <w:rsid w:val="00E15026"/>
    <w:rsid w:val="00E33648"/>
    <w:rsid w:val="00E367AE"/>
    <w:rsid w:val="00E40891"/>
    <w:rsid w:val="00E40B7C"/>
    <w:rsid w:val="00E5150A"/>
    <w:rsid w:val="00E51B0A"/>
    <w:rsid w:val="00E526F2"/>
    <w:rsid w:val="00E52CE1"/>
    <w:rsid w:val="00E802D3"/>
    <w:rsid w:val="00E961E4"/>
    <w:rsid w:val="00EB034E"/>
    <w:rsid w:val="00EB50E5"/>
    <w:rsid w:val="00EC1251"/>
    <w:rsid w:val="00EE78A0"/>
    <w:rsid w:val="00EF321C"/>
    <w:rsid w:val="00EF42A1"/>
    <w:rsid w:val="00F014EE"/>
    <w:rsid w:val="00F065E6"/>
    <w:rsid w:val="00F1262E"/>
    <w:rsid w:val="00F15973"/>
    <w:rsid w:val="00F16085"/>
    <w:rsid w:val="00F22EB7"/>
    <w:rsid w:val="00F35002"/>
    <w:rsid w:val="00F3786B"/>
    <w:rsid w:val="00F41E10"/>
    <w:rsid w:val="00F42093"/>
    <w:rsid w:val="00F45B64"/>
    <w:rsid w:val="00F5290D"/>
    <w:rsid w:val="00F65C0E"/>
    <w:rsid w:val="00F73B98"/>
    <w:rsid w:val="00F83304"/>
    <w:rsid w:val="00F86391"/>
    <w:rsid w:val="00F8677B"/>
    <w:rsid w:val="00F96EF7"/>
    <w:rsid w:val="00F97225"/>
    <w:rsid w:val="00FA5927"/>
    <w:rsid w:val="00FA5DC6"/>
    <w:rsid w:val="00FB2168"/>
    <w:rsid w:val="00FC5EE7"/>
    <w:rsid w:val="00FD10E3"/>
    <w:rsid w:val="00FD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93"/>
    <w:rPr>
      <w:rFonts w:ascii="Times New Roman" w:hAnsi="Times New Roman"/>
      <w:sz w:val="24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Normal">
    <w:name w:val="CV Normal"/>
    <w:basedOn w:val="Normal"/>
    <w:uiPriority w:val="99"/>
    <w:rsid w:val="007D4024"/>
    <w:pPr>
      <w:suppressAutoHyphens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DC6F8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o-RO"/>
    </w:rPr>
  </w:style>
  <w:style w:type="character" w:styleId="FootnoteReference">
    <w:name w:val="footnote reference"/>
    <w:rsid w:val="009F21E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F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8D"/>
    <w:rPr>
      <w:rFonts w:ascii="Times New Roman" w:hAnsi="Times New Roman"/>
      <w:sz w:val="24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F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8D"/>
    <w:rPr>
      <w:rFonts w:ascii="Times New Roman" w:hAnsi="Times New Roman"/>
      <w:sz w:val="24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</vt:lpstr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</dc:title>
  <dc:subject/>
  <dc:creator>Cristina</dc:creator>
  <cp:keywords/>
  <dc:description/>
  <cp:lastModifiedBy>Roxana</cp:lastModifiedBy>
  <cp:revision>19</cp:revision>
  <dcterms:created xsi:type="dcterms:W3CDTF">2016-01-20T10:07:00Z</dcterms:created>
  <dcterms:modified xsi:type="dcterms:W3CDTF">2020-01-14T06:40:00Z</dcterms:modified>
</cp:coreProperties>
</file>